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65EE" w14:textId="43556D8A" w:rsidR="00EE2C54" w:rsidRPr="00E3112B" w:rsidRDefault="00EE2C54" w:rsidP="00886100">
      <w:pPr>
        <w:keepNext/>
        <w:keepLines/>
        <w:jc w:val="center"/>
        <w:rPr>
          <w:rFonts w:ascii="Calibri" w:hAnsi="Calibri"/>
          <w:b/>
          <w:bCs/>
          <w:sz w:val="32"/>
          <w:szCs w:val="32"/>
        </w:rPr>
      </w:pPr>
      <w:r w:rsidRPr="00E3112B">
        <w:rPr>
          <w:rFonts w:ascii="Calibri" w:hAnsi="Calibri"/>
          <w:b/>
          <w:bCs/>
          <w:sz w:val="32"/>
          <w:szCs w:val="32"/>
        </w:rPr>
        <w:t>TECHNICKÉ PODMÍNKY</w:t>
      </w:r>
    </w:p>
    <w:p w14:paraId="084FC628" w14:textId="77777777" w:rsidR="00E06A9A" w:rsidRPr="00E06A9A" w:rsidRDefault="00E06A9A" w:rsidP="00886100">
      <w:pPr>
        <w:keepNext/>
        <w:keepLines/>
        <w:rPr>
          <w:rFonts w:ascii="Calibri" w:hAnsi="Calibri"/>
          <w:b/>
          <w:bCs/>
          <w:sz w:val="44"/>
          <w:szCs w:val="44"/>
        </w:rPr>
      </w:pPr>
    </w:p>
    <w:p w14:paraId="2F25EA6A" w14:textId="5FB9166E" w:rsidR="00886100" w:rsidRPr="00E3112B" w:rsidRDefault="00C32074" w:rsidP="00886100">
      <w:pPr>
        <w:keepNext/>
        <w:keepLines/>
        <w:spacing w:line="312" w:lineRule="auto"/>
        <w:jc w:val="center"/>
        <w:rPr>
          <w:rFonts w:ascii="Calibri" w:hAnsi="Calibri"/>
          <w:b/>
          <w:bCs/>
          <w:sz w:val="28"/>
          <w:szCs w:val="28"/>
        </w:rPr>
      </w:pPr>
      <w:r w:rsidRPr="00E3112B">
        <w:rPr>
          <w:rFonts w:ascii="Calibri" w:hAnsi="Calibri"/>
          <w:b/>
          <w:bCs/>
          <w:sz w:val="28"/>
          <w:szCs w:val="28"/>
        </w:rPr>
        <w:t>FVE na objektech Obce Lásenice</w:t>
      </w:r>
    </w:p>
    <w:p w14:paraId="0B01031C" w14:textId="77777777" w:rsidR="00C32074" w:rsidRDefault="00C32074" w:rsidP="00886100">
      <w:pPr>
        <w:keepNext/>
        <w:keepLines/>
        <w:spacing w:line="312" w:lineRule="auto"/>
        <w:jc w:val="center"/>
        <w:rPr>
          <w:rFonts w:ascii="Calibri" w:hAnsi="Calibri" w:cs="Arial"/>
          <w:szCs w:val="22"/>
        </w:rPr>
      </w:pPr>
    </w:p>
    <w:p w14:paraId="1D3E06D2" w14:textId="33FBC850" w:rsidR="0074658C" w:rsidRDefault="0074658C" w:rsidP="00EE2C54">
      <w:pPr>
        <w:keepNext/>
        <w:keepLines/>
        <w:spacing w:line="312" w:lineRule="auto"/>
        <w:jc w:val="both"/>
        <w:rPr>
          <w:rFonts w:ascii="Calibri" w:hAnsi="Calibri" w:cs="Arial"/>
          <w:szCs w:val="22"/>
        </w:rPr>
      </w:pPr>
      <w:r w:rsidRPr="0074658C">
        <w:rPr>
          <w:rFonts w:ascii="Calibri" w:hAnsi="Calibri" w:cs="Arial"/>
          <w:szCs w:val="22"/>
        </w:rPr>
        <w:t xml:space="preserve">Navrhované </w:t>
      </w:r>
      <w:r>
        <w:rPr>
          <w:rFonts w:ascii="Calibri" w:hAnsi="Calibri" w:cs="Arial"/>
          <w:szCs w:val="22"/>
        </w:rPr>
        <w:t xml:space="preserve">FV panely: </w:t>
      </w:r>
      <w:r w:rsidRPr="0074658C">
        <w:rPr>
          <w:rFonts w:ascii="Calibri" w:hAnsi="Calibri" w:cs="Arial"/>
          <w:szCs w:val="22"/>
        </w:rPr>
        <w:t>monokrystalické</w:t>
      </w:r>
      <w:r>
        <w:rPr>
          <w:rFonts w:ascii="Calibri" w:hAnsi="Calibri" w:cs="Arial"/>
          <w:szCs w:val="22"/>
        </w:rPr>
        <w:t>.</w:t>
      </w:r>
    </w:p>
    <w:p w14:paraId="5ECD7F7C" w14:textId="77777777" w:rsidR="00886100" w:rsidRDefault="00886100" w:rsidP="00EE2C54">
      <w:pPr>
        <w:keepNext/>
        <w:keepLines/>
        <w:spacing w:line="312" w:lineRule="auto"/>
        <w:jc w:val="both"/>
        <w:rPr>
          <w:rFonts w:ascii="Calibri" w:hAnsi="Calibri" w:cs="Arial"/>
          <w:szCs w:val="22"/>
        </w:rPr>
      </w:pPr>
    </w:p>
    <w:p w14:paraId="75D0D446" w14:textId="6B82A84C" w:rsidR="00B23328" w:rsidRPr="00B23328" w:rsidRDefault="00B23328" w:rsidP="00B23328">
      <w:pPr>
        <w:keepNext/>
        <w:keepLines/>
        <w:spacing w:line="312" w:lineRule="auto"/>
        <w:jc w:val="both"/>
        <w:rPr>
          <w:rFonts w:ascii="Calibri" w:hAnsi="Calibri" w:cs="Arial"/>
          <w:szCs w:val="22"/>
        </w:rPr>
      </w:pPr>
      <w:r w:rsidRPr="00B23328">
        <w:rPr>
          <w:rFonts w:ascii="Calibri" w:hAnsi="Calibri" w:cs="Arial"/>
          <w:szCs w:val="22"/>
        </w:rPr>
        <w:t xml:space="preserve">Je-li to relevantní, </w:t>
      </w:r>
      <w:r>
        <w:rPr>
          <w:rFonts w:ascii="Calibri" w:hAnsi="Calibri" w:cs="Arial"/>
          <w:szCs w:val="22"/>
        </w:rPr>
        <w:t>musí být</w:t>
      </w:r>
      <w:r w:rsidRPr="00B23328">
        <w:rPr>
          <w:rFonts w:ascii="Calibri" w:hAnsi="Calibri" w:cs="Arial"/>
          <w:szCs w:val="22"/>
        </w:rPr>
        <w:t xml:space="preserve"> výrobn</w:t>
      </w:r>
      <w:r>
        <w:rPr>
          <w:rFonts w:ascii="Calibri" w:hAnsi="Calibri" w:cs="Arial"/>
          <w:szCs w:val="22"/>
        </w:rPr>
        <w:t>a</w:t>
      </w:r>
      <w:r w:rsidRPr="00B23328">
        <w:rPr>
          <w:rFonts w:ascii="Calibri" w:hAnsi="Calibri" w:cs="Arial"/>
          <w:szCs w:val="22"/>
        </w:rPr>
        <w:t xml:space="preserve"> elektřiny </w:t>
      </w:r>
      <w:r>
        <w:rPr>
          <w:rFonts w:ascii="Calibri" w:hAnsi="Calibri" w:cs="Arial"/>
          <w:szCs w:val="22"/>
        </w:rPr>
        <w:t xml:space="preserve">vybavena </w:t>
      </w:r>
      <w:r w:rsidRPr="00B23328">
        <w:rPr>
          <w:rFonts w:ascii="Calibri" w:hAnsi="Calibri" w:cs="Arial"/>
          <w:szCs w:val="22"/>
        </w:rPr>
        <w:t>dle podmínek stanovených:</w:t>
      </w:r>
    </w:p>
    <w:p w14:paraId="676C6F6C" w14:textId="4D52C3F3" w:rsidR="00B23328" w:rsidRPr="00B23328" w:rsidRDefault="00B23328" w:rsidP="00B23328">
      <w:pPr>
        <w:pStyle w:val="Odstavecseseznamem"/>
        <w:keepNext/>
        <w:keepLines/>
        <w:numPr>
          <w:ilvl w:val="0"/>
          <w:numId w:val="8"/>
        </w:numPr>
        <w:spacing w:line="312" w:lineRule="auto"/>
        <w:jc w:val="both"/>
        <w:rPr>
          <w:rFonts w:ascii="Calibri" w:hAnsi="Calibri" w:cs="Arial"/>
          <w:szCs w:val="22"/>
        </w:rPr>
      </w:pPr>
      <w:r w:rsidRPr="00B23328">
        <w:rPr>
          <w:rFonts w:ascii="Calibri" w:hAnsi="Calibri" w:cs="Arial"/>
          <w:szCs w:val="22"/>
        </w:rPr>
        <w:t>ve smlouvě o připojení k přenosové nebo distribuční soustavě,</w:t>
      </w:r>
    </w:p>
    <w:p w14:paraId="45FB74F3" w14:textId="1404FADD" w:rsidR="00B23328" w:rsidRPr="00B23328" w:rsidRDefault="00B23328" w:rsidP="00B23328">
      <w:pPr>
        <w:pStyle w:val="Odstavecseseznamem"/>
        <w:keepNext/>
        <w:keepLines/>
        <w:numPr>
          <w:ilvl w:val="0"/>
          <w:numId w:val="8"/>
        </w:numPr>
        <w:spacing w:line="312" w:lineRule="auto"/>
        <w:jc w:val="both"/>
        <w:rPr>
          <w:rFonts w:ascii="Calibri" w:hAnsi="Calibri" w:cs="Arial"/>
          <w:szCs w:val="22"/>
        </w:rPr>
      </w:pPr>
      <w:r w:rsidRPr="00B23328">
        <w:rPr>
          <w:rFonts w:ascii="Calibri" w:hAnsi="Calibri" w:cs="Arial"/>
          <w:szCs w:val="22"/>
        </w:rPr>
        <w:t>v Nařízení komise (EU) 2016/631 ze dne 14. dubna 2016, kterým se stanoví kodex sítě pro požadavky na připojení výroben k elektrizační soustavě,</w:t>
      </w:r>
    </w:p>
    <w:p w14:paraId="31E25FD6" w14:textId="54835255" w:rsidR="008965A7" w:rsidRPr="00B23328" w:rsidRDefault="00B23328" w:rsidP="008965A7">
      <w:pPr>
        <w:keepNext/>
        <w:keepLines/>
        <w:spacing w:line="312" w:lineRule="auto"/>
        <w:ind w:left="360"/>
        <w:jc w:val="both"/>
        <w:rPr>
          <w:rFonts w:ascii="Calibri" w:hAnsi="Calibri" w:cs="Arial"/>
          <w:szCs w:val="22"/>
        </w:rPr>
      </w:pPr>
      <w:r w:rsidRPr="00B23328">
        <w:rPr>
          <w:rFonts w:ascii="Calibri" w:hAnsi="Calibri" w:cs="Arial"/>
          <w:szCs w:val="22"/>
        </w:rPr>
        <w:t xml:space="preserve">- </w:t>
      </w:r>
      <w:r>
        <w:rPr>
          <w:rFonts w:ascii="Calibri" w:hAnsi="Calibri" w:cs="Arial"/>
          <w:szCs w:val="22"/>
        </w:rPr>
        <w:tab/>
      </w:r>
      <w:r w:rsidRPr="00B23328">
        <w:rPr>
          <w:rFonts w:ascii="Calibri" w:hAnsi="Calibri" w:cs="Arial"/>
          <w:szCs w:val="22"/>
        </w:rPr>
        <w:t>v Pravidlech provozování přenosové nebo distribuční soustavy (PPDS)</w:t>
      </w:r>
    </w:p>
    <w:p w14:paraId="42B0AC0C" w14:textId="77777777" w:rsidR="00E06A9A" w:rsidRDefault="00E06A9A" w:rsidP="00EE2C54">
      <w:pPr>
        <w:keepNext/>
        <w:keepLines/>
        <w:spacing w:line="312" w:lineRule="auto"/>
        <w:jc w:val="both"/>
        <w:rPr>
          <w:rFonts w:ascii="Calibri" w:hAnsi="Calibri" w:cs="Arial"/>
          <w:szCs w:val="22"/>
        </w:rPr>
      </w:pPr>
    </w:p>
    <w:p w14:paraId="5D4BE5B2" w14:textId="23C2C469" w:rsidR="00E3112B" w:rsidRDefault="00EF0D74" w:rsidP="00EE2C54">
      <w:pPr>
        <w:keepNext/>
        <w:keepLines/>
        <w:spacing w:line="312" w:lineRule="auto"/>
        <w:jc w:val="both"/>
        <w:rPr>
          <w:rFonts w:ascii="Calibri" w:hAnsi="Calibri" w:cs="Arial"/>
          <w:b/>
          <w:bCs/>
          <w:szCs w:val="22"/>
        </w:rPr>
      </w:pPr>
      <w:r w:rsidRPr="0036402C">
        <w:rPr>
          <w:rFonts w:ascii="Calibri" w:hAnsi="Calibri" w:cs="Arial"/>
          <w:b/>
          <w:bCs/>
          <w:szCs w:val="22"/>
        </w:rPr>
        <w:t>V rámci zakázky budou instalovány výhradně fotovoltaické moduly</w:t>
      </w:r>
      <w:r w:rsidR="00D765FE" w:rsidRPr="0036402C">
        <w:rPr>
          <w:rFonts w:ascii="Calibri" w:hAnsi="Calibri" w:cs="Arial"/>
          <w:b/>
          <w:bCs/>
          <w:szCs w:val="22"/>
        </w:rPr>
        <w:t xml:space="preserve"> a</w:t>
      </w:r>
      <w:r w:rsidR="00E06A9A" w:rsidRPr="0036402C">
        <w:rPr>
          <w:rFonts w:ascii="Calibri" w:hAnsi="Calibri" w:cs="Arial"/>
          <w:b/>
          <w:bCs/>
          <w:szCs w:val="22"/>
        </w:rPr>
        <w:t xml:space="preserve"> </w:t>
      </w:r>
      <w:r w:rsidRPr="0036402C">
        <w:rPr>
          <w:rFonts w:ascii="Calibri" w:hAnsi="Calibri" w:cs="Arial"/>
          <w:b/>
          <w:bCs/>
          <w:szCs w:val="22"/>
        </w:rPr>
        <w:t>měniče</w:t>
      </w:r>
      <w:r w:rsidR="00E06A9A" w:rsidRPr="0036402C">
        <w:rPr>
          <w:rFonts w:ascii="Calibri" w:hAnsi="Calibri" w:cs="Arial"/>
          <w:b/>
          <w:bCs/>
          <w:szCs w:val="22"/>
        </w:rPr>
        <w:t xml:space="preserve"> </w:t>
      </w:r>
      <w:r w:rsidRPr="0036402C">
        <w:rPr>
          <w:rFonts w:ascii="Calibri" w:hAnsi="Calibri" w:cs="Arial"/>
          <w:b/>
          <w:bCs/>
          <w:szCs w:val="22"/>
        </w:rPr>
        <w:t>s nezávisle ověřenými parametry prokázanými certifikáty vydanými akreditovanými certifikačními orgány</w:t>
      </w:r>
      <w:r w:rsidRPr="0036402C">
        <w:rPr>
          <w:rStyle w:val="Znakapoznpodarou"/>
          <w:rFonts w:ascii="Calibri" w:hAnsi="Calibri" w:cs="Arial"/>
          <w:b/>
          <w:bCs/>
          <w:szCs w:val="22"/>
        </w:rPr>
        <w:footnoteReference w:id="1"/>
      </w:r>
      <w:r w:rsidRPr="0036402C">
        <w:rPr>
          <w:rFonts w:ascii="Calibri" w:hAnsi="Calibri" w:cs="Arial"/>
          <w:b/>
          <w:bCs/>
          <w:szCs w:val="22"/>
        </w:rPr>
        <w:t xml:space="preserve"> na základě níže uvedených souborů norem: </w:t>
      </w:r>
    </w:p>
    <w:p w14:paraId="7BDDFB9B" w14:textId="4C04CD3F" w:rsidR="00D765FE" w:rsidRDefault="00E3112B" w:rsidP="00EE2C54">
      <w:pPr>
        <w:keepNext/>
        <w:keepLines/>
        <w:spacing w:line="312" w:lineRule="auto"/>
        <w:jc w:val="both"/>
        <w:rPr>
          <w:rFonts w:ascii="Calibri" w:hAnsi="Calibri" w:cs="Arial"/>
          <w:b/>
          <w:bCs/>
          <w:szCs w:val="22"/>
        </w:rPr>
      </w:pPr>
      <w:r w:rsidRPr="00E3112B">
        <w:rPr>
          <w:rFonts w:ascii="Calibri" w:hAnsi="Calibri" w:cs="Arial"/>
          <w:b/>
          <w:bCs/>
          <w:noProof/>
          <w:szCs w:val="22"/>
        </w:rPr>
        <w:drawing>
          <wp:inline distT="0" distB="0" distL="0" distR="0" wp14:anchorId="592DC42E" wp14:editId="0C513DF6">
            <wp:extent cx="5941060" cy="1316990"/>
            <wp:effectExtent l="0" t="0" r="2540" b="0"/>
            <wp:docPr id="1633861702" name="Obrázek 1" descr="Obsah obrázku text, snímek obrazovky, Písmo, řada/pruh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861702" name="Obrázek 1" descr="Obsah obrázku text, snímek obrazovky, Písmo, řada/pruh&#10;&#10;Obsah generovaný pomocí AI může být nesprávný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6102D" w14:textId="77777777" w:rsidR="00E3112B" w:rsidRPr="00E3112B" w:rsidRDefault="00E3112B" w:rsidP="00EE2C54">
      <w:pPr>
        <w:keepNext/>
        <w:keepLines/>
        <w:spacing w:line="312" w:lineRule="auto"/>
        <w:jc w:val="both"/>
        <w:rPr>
          <w:rFonts w:ascii="Calibri" w:hAnsi="Calibri" w:cs="Arial"/>
          <w:b/>
          <w:bCs/>
          <w:szCs w:val="22"/>
        </w:rPr>
      </w:pPr>
    </w:p>
    <w:p w14:paraId="0266B5C2" w14:textId="39577B57" w:rsidR="00886100" w:rsidRPr="00D4425A" w:rsidRDefault="00EF0D74" w:rsidP="00EE2C54">
      <w:pPr>
        <w:keepNext/>
        <w:keepLines/>
        <w:spacing w:line="312" w:lineRule="auto"/>
        <w:jc w:val="both"/>
        <w:rPr>
          <w:rFonts w:ascii="Calibri" w:hAnsi="Calibri" w:cs="Arial"/>
          <w:b/>
          <w:bCs/>
          <w:szCs w:val="22"/>
        </w:rPr>
      </w:pPr>
      <w:r w:rsidRPr="00D4425A">
        <w:rPr>
          <w:rFonts w:ascii="Calibri" w:hAnsi="Calibri" w:cs="Arial"/>
          <w:b/>
          <w:bCs/>
          <w:szCs w:val="22"/>
        </w:rPr>
        <w:t>Instalované fotovoltaické moduly a měniče musí dosahovat minimálně níže uvedených účinností:</w:t>
      </w:r>
    </w:p>
    <w:tbl>
      <w:tblPr>
        <w:tblStyle w:val="Prosttabulka2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F0D74" w:rsidRPr="00EF0D74" w14:paraId="3602C471" w14:textId="77777777" w:rsidTr="00EF0D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D9D9D9" w:themeFill="background1" w:themeFillShade="D9"/>
          </w:tcPr>
          <w:p w14:paraId="612F4640" w14:textId="509D26E7" w:rsidR="00EF0D74" w:rsidRPr="00EF0D74" w:rsidRDefault="00EF0D74" w:rsidP="00EE2C54">
            <w:pPr>
              <w:keepNext/>
              <w:keepLines/>
              <w:spacing w:line="31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EF0D74">
              <w:rPr>
                <w:rFonts w:ascii="Calibri" w:hAnsi="Calibri" w:cs="Arial"/>
                <w:sz w:val="22"/>
                <w:szCs w:val="22"/>
              </w:rPr>
              <w:t>Technologie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6DA6E096" w14:textId="35150C06" w:rsidR="00EF0D74" w:rsidRPr="00EF0D74" w:rsidRDefault="00EF0D74" w:rsidP="00EE2C54">
            <w:pPr>
              <w:keepNext/>
              <w:keepLines/>
              <w:spacing w:line="312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EF0D74">
              <w:rPr>
                <w:rFonts w:asciiTheme="minorHAnsi" w:hAnsiTheme="minorHAnsi" w:cstheme="minorHAnsi"/>
                <w:sz w:val="22"/>
                <w:szCs w:val="22"/>
              </w:rPr>
              <w:t>Minimální účinnost</w:t>
            </w:r>
          </w:p>
        </w:tc>
      </w:tr>
      <w:tr w:rsidR="00EF0D74" w:rsidRPr="00EF0D74" w14:paraId="40D058A3" w14:textId="77777777" w:rsidTr="00EF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336F6E6" w14:textId="0A3BE2E6" w:rsidR="00EF0D74" w:rsidRPr="00EF0D74" w:rsidRDefault="00EF0D74" w:rsidP="00EE2C54">
            <w:pPr>
              <w:keepNext/>
              <w:keepLines/>
              <w:spacing w:line="312" w:lineRule="auto"/>
              <w:jc w:val="both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EF0D74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Fotovoltaické moduly při standardních testovacích podmínkách</w:t>
            </w:r>
            <w:r>
              <w:rPr>
                <w:rStyle w:val="Znakapoznpodarou"/>
                <w:rFonts w:ascii="Calibri" w:hAnsi="Calibri" w:cs="Arial"/>
                <w:b w:val="0"/>
                <w:bCs w:val="0"/>
                <w:sz w:val="22"/>
                <w:szCs w:val="22"/>
              </w:rPr>
              <w:footnoteReference w:id="2"/>
            </w:r>
            <w:r w:rsidRPr="00EF0D74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(STC)</w:t>
            </w:r>
          </w:p>
        </w:tc>
        <w:tc>
          <w:tcPr>
            <w:tcW w:w="4531" w:type="dxa"/>
          </w:tcPr>
          <w:p w14:paraId="5D5C811E" w14:textId="6B8E61D1" w:rsidR="00EF0D74" w:rsidRPr="00574B3D" w:rsidRDefault="00EF0D74" w:rsidP="00574B3D">
            <w:pPr>
              <w:pStyle w:val="Odstavecseseznamem"/>
              <w:keepNext/>
              <w:keepLines/>
              <w:numPr>
                <w:ilvl w:val="0"/>
                <w:numId w:val="14"/>
              </w:num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574B3D">
              <w:rPr>
                <w:rFonts w:ascii="Calibri" w:hAnsi="Calibri" w:cs="Arial"/>
                <w:sz w:val="22"/>
                <w:szCs w:val="22"/>
              </w:rPr>
              <w:t xml:space="preserve">19,0 % pro </w:t>
            </w:r>
            <w:proofErr w:type="spellStart"/>
            <w:r w:rsidRPr="00574B3D">
              <w:rPr>
                <w:rFonts w:ascii="Calibri" w:hAnsi="Calibri" w:cs="Arial"/>
                <w:sz w:val="22"/>
                <w:szCs w:val="22"/>
              </w:rPr>
              <w:t>monofaciální</w:t>
            </w:r>
            <w:proofErr w:type="spellEnd"/>
            <w:r w:rsidRPr="00574B3D">
              <w:rPr>
                <w:rFonts w:ascii="Calibri" w:hAnsi="Calibri" w:cs="Arial"/>
                <w:sz w:val="22"/>
                <w:szCs w:val="22"/>
              </w:rPr>
              <w:t xml:space="preserve"> moduly </w:t>
            </w:r>
            <w:r w:rsidR="00582FA8" w:rsidRPr="00574B3D">
              <w:rPr>
                <w:rFonts w:ascii="Calibri" w:hAnsi="Calibri" w:cs="Arial"/>
                <w:sz w:val="22"/>
                <w:szCs w:val="22"/>
              </w:rPr>
              <w:br/>
            </w:r>
            <w:r w:rsidRPr="00574B3D">
              <w:rPr>
                <w:rFonts w:ascii="Calibri" w:hAnsi="Calibri" w:cs="Arial"/>
                <w:sz w:val="22"/>
                <w:szCs w:val="22"/>
              </w:rPr>
              <w:t>z monokrystalického křemíku</w:t>
            </w:r>
            <w:r w:rsidR="00574B3D" w:rsidRPr="00574B3D">
              <w:rPr>
                <w:rFonts w:ascii="Calibri" w:hAnsi="Calibri" w:cs="Arial"/>
                <w:sz w:val="22"/>
                <w:szCs w:val="22"/>
              </w:rPr>
              <w:t>,</w:t>
            </w:r>
          </w:p>
          <w:p w14:paraId="3179A329" w14:textId="0F129821" w:rsidR="00574B3D" w:rsidRPr="00574B3D" w:rsidRDefault="00574B3D" w:rsidP="00574B3D">
            <w:pPr>
              <w:pStyle w:val="Odstavecseseznamem"/>
              <w:keepNext/>
              <w:keepLines/>
              <w:numPr>
                <w:ilvl w:val="0"/>
                <w:numId w:val="14"/>
              </w:num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574B3D">
              <w:rPr>
                <w:rFonts w:ascii="Calibri" w:hAnsi="Calibri" w:cs="Arial"/>
                <w:sz w:val="22"/>
                <w:szCs w:val="22"/>
              </w:rPr>
              <w:t xml:space="preserve">18,0 % pro </w:t>
            </w:r>
            <w:proofErr w:type="spellStart"/>
            <w:r w:rsidRPr="00574B3D">
              <w:rPr>
                <w:rFonts w:ascii="Calibri" w:hAnsi="Calibri" w:cs="Arial"/>
                <w:sz w:val="22"/>
                <w:szCs w:val="22"/>
              </w:rPr>
              <w:t>monofaciální</w:t>
            </w:r>
            <w:proofErr w:type="spellEnd"/>
            <w:r w:rsidRPr="00574B3D">
              <w:rPr>
                <w:rFonts w:ascii="Calibri" w:hAnsi="Calibri" w:cs="Arial"/>
                <w:sz w:val="22"/>
                <w:szCs w:val="22"/>
              </w:rPr>
              <w:t xml:space="preserve"> moduly z </w:t>
            </w:r>
            <w:proofErr w:type="spellStart"/>
            <w:r w:rsidRPr="00574B3D">
              <w:rPr>
                <w:rFonts w:ascii="Calibri" w:hAnsi="Calibri" w:cs="Arial"/>
                <w:sz w:val="22"/>
                <w:szCs w:val="22"/>
              </w:rPr>
              <w:t>multikrystalického</w:t>
            </w:r>
            <w:proofErr w:type="spellEnd"/>
            <w:r w:rsidRPr="00574B3D">
              <w:rPr>
                <w:rFonts w:ascii="Calibri" w:hAnsi="Calibri" w:cs="Arial"/>
                <w:sz w:val="22"/>
                <w:szCs w:val="22"/>
              </w:rPr>
              <w:t xml:space="preserve"> křemíku,</w:t>
            </w:r>
          </w:p>
          <w:p w14:paraId="568BE55A" w14:textId="61154D20" w:rsidR="00574B3D" w:rsidRPr="00574B3D" w:rsidRDefault="00574B3D" w:rsidP="00574B3D">
            <w:pPr>
              <w:pStyle w:val="Odstavecseseznamem"/>
              <w:keepNext/>
              <w:keepLines/>
              <w:numPr>
                <w:ilvl w:val="0"/>
                <w:numId w:val="14"/>
              </w:num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574B3D">
              <w:rPr>
                <w:rFonts w:ascii="Calibri" w:hAnsi="Calibri" w:cs="Arial"/>
                <w:sz w:val="22"/>
                <w:szCs w:val="22"/>
              </w:rPr>
              <w:t>19,0 % pro bifaciální moduly při 0 % bifaciálním zisku,</w:t>
            </w:r>
          </w:p>
          <w:p w14:paraId="0BE3456F" w14:textId="2FD28CDD" w:rsidR="00574B3D" w:rsidRPr="00574B3D" w:rsidRDefault="00574B3D" w:rsidP="00574B3D">
            <w:pPr>
              <w:pStyle w:val="Odstavecseseznamem"/>
              <w:keepNext/>
              <w:keepLines/>
              <w:numPr>
                <w:ilvl w:val="0"/>
                <w:numId w:val="14"/>
              </w:num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574B3D">
              <w:rPr>
                <w:rFonts w:ascii="Calibri" w:hAnsi="Calibri" w:cs="Arial"/>
                <w:sz w:val="22"/>
                <w:szCs w:val="22"/>
              </w:rPr>
              <w:t>12,0 % pro tenkovrstvé moduly,</w:t>
            </w:r>
          </w:p>
          <w:p w14:paraId="0EAA92D9" w14:textId="350DDB27" w:rsidR="00574B3D" w:rsidRPr="00574B3D" w:rsidRDefault="00574B3D" w:rsidP="00574B3D">
            <w:pPr>
              <w:pStyle w:val="Odstavecseseznamem"/>
              <w:keepNext/>
              <w:keepLines/>
              <w:numPr>
                <w:ilvl w:val="0"/>
                <w:numId w:val="14"/>
              </w:num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574B3D">
              <w:rPr>
                <w:rFonts w:ascii="Calibri" w:hAnsi="Calibri" w:cs="Arial"/>
                <w:sz w:val="22"/>
                <w:szCs w:val="22"/>
              </w:rPr>
              <w:t>nestanoveno pro speciální výrobky a použití</w:t>
            </w:r>
            <w:r>
              <w:rPr>
                <w:rStyle w:val="Znakapoznpodarou"/>
                <w:rFonts w:ascii="Calibri" w:hAnsi="Calibri" w:cs="Arial"/>
                <w:sz w:val="22"/>
                <w:szCs w:val="22"/>
              </w:rPr>
              <w:footnoteReference w:id="3"/>
            </w:r>
            <w:r w:rsidRPr="00574B3D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  <w:tr w:rsidR="00EF0D74" w:rsidRPr="00EF0D74" w14:paraId="7FFE9B90" w14:textId="77777777" w:rsidTr="00EF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3E53BD6" w14:textId="5307B7FB" w:rsidR="00EF0D74" w:rsidRPr="00EF0D74" w:rsidRDefault="00EF0D74" w:rsidP="00EE2C54">
            <w:pPr>
              <w:keepNext/>
              <w:keepLines/>
              <w:spacing w:line="312" w:lineRule="auto"/>
              <w:jc w:val="both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EF0D74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Měniče</w:t>
            </w:r>
          </w:p>
        </w:tc>
        <w:tc>
          <w:tcPr>
            <w:tcW w:w="4531" w:type="dxa"/>
          </w:tcPr>
          <w:p w14:paraId="5C353351" w14:textId="00294E6B" w:rsidR="00EF0D74" w:rsidRPr="00EF0D74" w:rsidRDefault="00EF0D74" w:rsidP="00EE2C54">
            <w:pPr>
              <w:keepNext/>
              <w:keepLines/>
              <w:spacing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EF0D74">
              <w:rPr>
                <w:rFonts w:ascii="Calibri" w:hAnsi="Calibri" w:cs="Arial"/>
                <w:sz w:val="22"/>
                <w:szCs w:val="22"/>
              </w:rPr>
              <w:t>97,0 % (Euro účinnost)</w:t>
            </w:r>
          </w:p>
        </w:tc>
      </w:tr>
    </w:tbl>
    <w:p w14:paraId="2936455C" w14:textId="220FA67A" w:rsidR="00EF0D74" w:rsidRPr="00D4425A" w:rsidRDefault="00EF0D74" w:rsidP="00EE2C54">
      <w:pPr>
        <w:keepNext/>
        <w:keepLines/>
        <w:spacing w:line="312" w:lineRule="auto"/>
        <w:jc w:val="both"/>
        <w:rPr>
          <w:rFonts w:ascii="Calibri" w:hAnsi="Calibri" w:cs="Arial"/>
          <w:szCs w:val="22"/>
          <w:u w:val="single"/>
        </w:rPr>
      </w:pPr>
    </w:p>
    <w:p w14:paraId="41BCC90D" w14:textId="6FDAC343" w:rsidR="00582FA8" w:rsidRDefault="00582FA8" w:rsidP="00582FA8">
      <w:pPr>
        <w:pStyle w:val="Default"/>
        <w:rPr>
          <w:rFonts w:ascii="Calibri" w:eastAsia="Times New Roman" w:hAnsi="Calibri" w:cs="Arial"/>
          <w:b/>
          <w:bCs/>
          <w:color w:val="auto"/>
          <w:szCs w:val="22"/>
          <w:lang w:eastAsia="cs-CZ"/>
        </w:rPr>
      </w:pPr>
      <w:r w:rsidRPr="00D4425A">
        <w:rPr>
          <w:rFonts w:ascii="Calibri" w:eastAsia="Times New Roman" w:hAnsi="Calibri" w:cs="Arial"/>
          <w:b/>
          <w:bCs/>
          <w:color w:val="auto"/>
          <w:szCs w:val="22"/>
          <w:lang w:eastAsia="cs-CZ"/>
        </w:rPr>
        <w:t xml:space="preserve">Při realizaci mohou být použity výhradně komponenty s garantovanou životností: </w:t>
      </w:r>
    </w:p>
    <w:p w14:paraId="2FF1DEEF" w14:textId="77777777" w:rsidR="00346866" w:rsidRDefault="00346866" w:rsidP="00582FA8">
      <w:pPr>
        <w:pStyle w:val="Default"/>
        <w:rPr>
          <w:rFonts w:ascii="Calibri" w:eastAsia="Times New Roman" w:hAnsi="Calibri" w:cs="Arial"/>
          <w:b/>
          <w:bCs/>
          <w:color w:val="auto"/>
          <w:szCs w:val="22"/>
          <w:lang w:eastAsia="cs-CZ"/>
        </w:rPr>
      </w:pPr>
    </w:p>
    <w:tbl>
      <w:tblPr>
        <w:tblStyle w:val="Prosttabulka2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6402C" w:rsidRPr="00EF0D74" w14:paraId="13424491" w14:textId="77777777" w:rsidTr="00B54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D9D9D9" w:themeFill="background1" w:themeFillShade="D9"/>
          </w:tcPr>
          <w:p w14:paraId="723CDB78" w14:textId="77777777" w:rsidR="0036402C" w:rsidRPr="00EF0D74" w:rsidRDefault="0036402C" w:rsidP="00B54912">
            <w:pPr>
              <w:keepNext/>
              <w:keepLines/>
              <w:spacing w:line="31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75428">
              <w:rPr>
                <w:rFonts w:ascii="Calibri" w:hAnsi="Calibri" w:cs="Arial"/>
                <w:sz w:val="22"/>
                <w:szCs w:val="22"/>
              </w:rPr>
              <w:lastRenderedPageBreak/>
              <w:t xml:space="preserve">Technologie 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3BC8B8C" w14:textId="77777777" w:rsidR="0036402C" w:rsidRPr="00EF0D74" w:rsidRDefault="0036402C" w:rsidP="00B54912">
            <w:pPr>
              <w:keepNext/>
              <w:keepLines/>
              <w:spacing w:line="312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475428">
              <w:rPr>
                <w:rFonts w:ascii="Calibri" w:hAnsi="Calibri" w:cs="Arial"/>
                <w:sz w:val="22"/>
                <w:szCs w:val="22"/>
              </w:rPr>
              <w:t xml:space="preserve">Požadované zajištění životnosti </w:t>
            </w:r>
          </w:p>
        </w:tc>
      </w:tr>
      <w:tr w:rsidR="0036402C" w:rsidRPr="00EF0D74" w14:paraId="6620982B" w14:textId="77777777" w:rsidTr="00B54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04D25D2" w14:textId="77777777" w:rsidR="0036402C" w:rsidRPr="00EF0D74" w:rsidRDefault="0036402C" w:rsidP="00B54912">
            <w:pPr>
              <w:keepNext/>
              <w:keepLines/>
              <w:spacing w:line="312" w:lineRule="auto"/>
              <w:jc w:val="both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475428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Fotovoltaické moduly</w:t>
            </w:r>
          </w:p>
        </w:tc>
        <w:tc>
          <w:tcPr>
            <w:tcW w:w="4531" w:type="dxa"/>
          </w:tcPr>
          <w:p w14:paraId="71E3AEC4" w14:textId="77777777" w:rsidR="00E3112B" w:rsidRPr="00E3112B" w:rsidRDefault="00E3112B" w:rsidP="00E3112B">
            <w:pPr>
              <w:keepNext/>
              <w:keepLines/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E3112B">
              <w:rPr>
                <w:rFonts w:ascii="Calibri" w:hAnsi="Calibri" w:cs="Arial"/>
                <w:sz w:val="22"/>
                <w:szCs w:val="22"/>
              </w:rPr>
              <w:t>min. 20letá lineární záruka na výkon s max. poklesem na 80 % původního výkonu garantovanou výrobcem</w:t>
            </w:r>
          </w:p>
          <w:p w14:paraId="4E2E6D36" w14:textId="46B48F09" w:rsidR="0036402C" w:rsidRPr="00EF0D74" w:rsidRDefault="00E3112B" w:rsidP="00E3112B">
            <w:pPr>
              <w:keepNext/>
              <w:keepLines/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 w:rsidRPr="00E3112B">
              <w:rPr>
                <w:rFonts w:ascii="Calibri" w:hAnsi="Calibri" w:cs="Arial"/>
                <w:sz w:val="22"/>
                <w:szCs w:val="22"/>
              </w:rPr>
              <w:t>- min. 10letá produktová záruka garantovaná výrobcem</w:t>
            </w:r>
          </w:p>
        </w:tc>
      </w:tr>
      <w:tr w:rsidR="0036402C" w:rsidRPr="00EF0D74" w14:paraId="36F7ACFE" w14:textId="77777777" w:rsidTr="00B54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7A8483" w14:textId="77777777" w:rsidR="0036402C" w:rsidRPr="00EF0D74" w:rsidRDefault="0036402C" w:rsidP="00B54912">
            <w:pPr>
              <w:keepNext/>
              <w:keepLines/>
              <w:spacing w:line="312" w:lineRule="auto"/>
              <w:jc w:val="both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475428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Měniče</w:t>
            </w:r>
          </w:p>
        </w:tc>
        <w:tc>
          <w:tcPr>
            <w:tcW w:w="4531" w:type="dxa"/>
          </w:tcPr>
          <w:p w14:paraId="763A55BA" w14:textId="6FAD855A" w:rsidR="0036402C" w:rsidRPr="00EF0D74" w:rsidRDefault="00E3112B" w:rsidP="00B54912">
            <w:pPr>
              <w:keepNext/>
              <w:keepLines/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E3112B">
              <w:rPr>
                <w:rFonts w:ascii="Calibri" w:hAnsi="Calibri" w:cs="Arial"/>
                <w:sz w:val="22"/>
                <w:szCs w:val="22"/>
              </w:rPr>
              <w:t>záruka výrobce či dodavatele trvající min. 10 let na jeho bezodkladnou výměnu či adekvátní náhradu v případě poruchy či poškození</w:t>
            </w:r>
          </w:p>
        </w:tc>
      </w:tr>
      <w:tr w:rsidR="0036402C" w:rsidRPr="00EF0D74" w14:paraId="2A6463D4" w14:textId="77777777" w:rsidTr="00B54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6B45FD1" w14:textId="77777777" w:rsidR="0036402C" w:rsidRPr="00EF0D74" w:rsidRDefault="0036402C" w:rsidP="00B54912">
            <w:pPr>
              <w:keepNext/>
              <w:keepLines/>
              <w:spacing w:line="31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75428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Elektrické akumulátory</w:t>
            </w:r>
          </w:p>
        </w:tc>
        <w:tc>
          <w:tcPr>
            <w:tcW w:w="4531" w:type="dxa"/>
          </w:tcPr>
          <w:p w14:paraId="60CCC312" w14:textId="3D76DFFA" w:rsidR="0036402C" w:rsidRPr="00475428" w:rsidRDefault="0036402C" w:rsidP="00B54912">
            <w:pPr>
              <w:keepNext/>
              <w:keepLines/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="00E3112B" w:rsidRPr="00E3112B">
              <w:rPr>
                <w:rFonts w:ascii="Calibri" w:hAnsi="Calibri" w:cs="Arial"/>
                <w:sz w:val="22"/>
                <w:szCs w:val="22"/>
              </w:rPr>
              <w:t xml:space="preserve">záruka s max. poklesem na 60% nominální kapacity po 10 letech provozu, nebo dosažení min. 2 400násobku nominální energie </w:t>
            </w:r>
            <w:r w:rsidRPr="00475428">
              <w:rPr>
                <w:rFonts w:ascii="Calibri" w:hAnsi="Calibri" w:cs="Arial"/>
                <w:sz w:val="22"/>
                <w:szCs w:val="22"/>
              </w:rPr>
              <w:t>(</w:t>
            </w:r>
            <w:proofErr w:type="spellStart"/>
            <w:r w:rsidRPr="00475428">
              <w:rPr>
                <w:rFonts w:ascii="Calibri" w:hAnsi="Calibri" w:cs="Arial"/>
                <w:sz w:val="22"/>
                <w:szCs w:val="22"/>
              </w:rPr>
              <w:t>Energy</w:t>
            </w:r>
            <w:proofErr w:type="spellEnd"/>
            <w:r w:rsidRPr="00475428">
              <w:rPr>
                <w:rFonts w:ascii="Calibri" w:hAnsi="Calibri" w:cs="Arial"/>
                <w:sz w:val="22"/>
                <w:szCs w:val="22"/>
              </w:rPr>
              <w:t xml:space="preserve"> </w:t>
            </w:r>
            <w:proofErr w:type="spellStart"/>
            <w:r w:rsidRPr="00475428">
              <w:rPr>
                <w:rFonts w:ascii="Calibri" w:hAnsi="Calibri" w:cs="Arial"/>
                <w:sz w:val="22"/>
                <w:szCs w:val="22"/>
              </w:rPr>
              <w:t>Throughput</w:t>
            </w:r>
            <w:proofErr w:type="spellEnd"/>
            <w:r w:rsidRPr="00475428">
              <w:rPr>
                <w:rFonts w:ascii="Calibri" w:hAnsi="Calibri" w:cs="Arial"/>
                <w:sz w:val="22"/>
                <w:szCs w:val="22"/>
              </w:rPr>
              <w:t>)</w:t>
            </w:r>
            <w:r>
              <w:rPr>
                <w:rStyle w:val="Znakapoznpodarou"/>
                <w:rFonts w:ascii="Calibri" w:hAnsi="Calibri" w:cs="Arial"/>
                <w:sz w:val="22"/>
                <w:szCs w:val="22"/>
              </w:rPr>
              <w:footnoteReference w:id="4"/>
            </w:r>
          </w:p>
        </w:tc>
      </w:tr>
    </w:tbl>
    <w:p w14:paraId="477EB998" w14:textId="303B6921" w:rsidR="006F4C55" w:rsidRDefault="006F4C55" w:rsidP="008965A7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/>
      </w:r>
      <w:r w:rsidR="00582FA8" w:rsidRPr="00582FA8">
        <w:rPr>
          <w:rFonts w:ascii="Calibri" w:hAnsi="Calibri" w:cs="Arial"/>
          <w:szCs w:val="22"/>
        </w:rPr>
        <w:t>Instalované měniče musí být vybaveny plynulou, nebo diskrétní řiditelností dodávaného výkonu do elektrizační soustavy umožňující změnu dodávaného výkonu výrobny</w:t>
      </w:r>
      <w:r w:rsidR="00582FA8">
        <w:rPr>
          <w:rFonts w:ascii="Calibri" w:hAnsi="Calibri" w:cs="Arial"/>
          <w:szCs w:val="22"/>
        </w:rPr>
        <w:t>.</w:t>
      </w:r>
    </w:p>
    <w:p w14:paraId="09D511DA" w14:textId="77777777" w:rsidR="0036402C" w:rsidRDefault="0036402C" w:rsidP="008965A7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</w:p>
    <w:p w14:paraId="0FBB4BF3" w14:textId="259F93F1" w:rsidR="008965A7" w:rsidRDefault="00E3112B" w:rsidP="008965A7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  <w:r w:rsidRPr="00E3112B">
        <w:rPr>
          <w:rFonts w:ascii="Calibri" w:hAnsi="Calibri" w:cs="Arial"/>
          <w:szCs w:val="22"/>
        </w:rPr>
        <w:t>Podpora na vybudování systému bateriové akumulace vyrobené elektřiny může být poskytnuta pouze pro systémy s využitelnou kapacitou</w:t>
      </w:r>
      <w:r>
        <w:rPr>
          <w:rFonts w:ascii="Calibri" w:hAnsi="Calibri" w:cs="Arial"/>
          <w:szCs w:val="22"/>
        </w:rPr>
        <w:t xml:space="preserve"> (k</w:t>
      </w:r>
      <w:r w:rsidRPr="00E3112B">
        <w:rPr>
          <w:rFonts w:ascii="Calibri" w:hAnsi="Calibri" w:cs="Arial"/>
          <w:szCs w:val="22"/>
        </w:rPr>
        <w:t>apacitou bateriového úložiště se rozumí „využitelná kapacita úložiště“</w:t>
      </w:r>
      <w:r>
        <w:rPr>
          <w:rFonts w:ascii="Calibri" w:hAnsi="Calibri" w:cs="Arial"/>
          <w:szCs w:val="22"/>
        </w:rPr>
        <w:t>, t</w:t>
      </w:r>
      <w:r w:rsidRPr="00E3112B">
        <w:rPr>
          <w:rFonts w:ascii="Calibri" w:hAnsi="Calibri" w:cs="Arial"/>
          <w:szCs w:val="22"/>
        </w:rPr>
        <w:t>ato kapacita musí být prokázána garančními testy při uvedení systému do provozu</w:t>
      </w:r>
      <w:r>
        <w:rPr>
          <w:rFonts w:ascii="Calibri" w:hAnsi="Calibri" w:cs="Arial"/>
          <w:szCs w:val="22"/>
        </w:rPr>
        <w:t>)</w:t>
      </w:r>
      <w:r w:rsidRPr="00E3112B">
        <w:rPr>
          <w:rFonts w:ascii="Calibri" w:hAnsi="Calibri" w:cs="Arial"/>
          <w:szCs w:val="22"/>
        </w:rPr>
        <w:t xml:space="preserve"> v rozsahu min. 20 % a max. 60 % z teoretické hodinové výroby při instalovaném špičkovém výkonu FVE</w:t>
      </w:r>
      <w:r>
        <w:rPr>
          <w:rStyle w:val="Znakapoznpodarou"/>
          <w:rFonts w:ascii="Calibri" w:hAnsi="Calibri" w:cs="Arial"/>
          <w:szCs w:val="22"/>
        </w:rPr>
        <w:footnoteReference w:id="5"/>
      </w:r>
      <w:r w:rsidRPr="00E3112B">
        <w:rPr>
          <w:rFonts w:ascii="Calibri" w:hAnsi="Calibri" w:cs="Arial"/>
          <w:szCs w:val="22"/>
        </w:rPr>
        <w:t xml:space="preserve"> (vztaženo ke každému předávacímu místu do DS/PS samostatně</w:t>
      </w:r>
      <w:r>
        <w:rPr>
          <w:rFonts w:ascii="Calibri" w:hAnsi="Calibri" w:cs="Arial"/>
          <w:szCs w:val="22"/>
        </w:rPr>
        <w:t>).</w:t>
      </w:r>
    </w:p>
    <w:p w14:paraId="01AF7F37" w14:textId="77777777" w:rsidR="008965A7" w:rsidRPr="0036402C" w:rsidRDefault="008965A7" w:rsidP="008965A7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</w:p>
    <w:p w14:paraId="60761995" w14:textId="77777777" w:rsidR="0036402C" w:rsidRDefault="0036402C" w:rsidP="008965A7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  <w:r w:rsidRPr="0036402C">
        <w:rPr>
          <w:rFonts w:ascii="Calibri" w:hAnsi="Calibri" w:cs="Arial"/>
          <w:szCs w:val="22"/>
        </w:rPr>
        <w:t xml:space="preserve">V případě bateriové akumulace s technologií na bázi olova nebo </w:t>
      </w:r>
      <w:proofErr w:type="spellStart"/>
      <w:r w:rsidRPr="0036402C">
        <w:rPr>
          <w:rFonts w:ascii="Calibri" w:hAnsi="Calibri" w:cs="Arial"/>
          <w:szCs w:val="22"/>
        </w:rPr>
        <w:t>NiCd</w:t>
      </w:r>
      <w:proofErr w:type="spellEnd"/>
      <w:r w:rsidRPr="0036402C">
        <w:rPr>
          <w:rFonts w:ascii="Calibri" w:hAnsi="Calibri" w:cs="Arial"/>
          <w:szCs w:val="22"/>
        </w:rPr>
        <w:t xml:space="preserve"> jsou povoleny pouze baterie se zajištěnou následnou recyklací (uzavřený cyklus). Účinnost recyklace konkrétního zpracovatele musí být podložena výpočtem dle nařízení EU č. 493/2012, přičemž účinnost recyklace musí být v souladu se směrnicí Evropského parlamentu a rady č. 2006/66/ES pro: </w:t>
      </w:r>
    </w:p>
    <w:p w14:paraId="3C63702B" w14:textId="77777777" w:rsidR="00BF0AD1" w:rsidRPr="0036402C" w:rsidRDefault="00BF0AD1" w:rsidP="008965A7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</w:p>
    <w:p w14:paraId="2DC04E95" w14:textId="77777777" w:rsidR="0036402C" w:rsidRPr="0036402C" w:rsidRDefault="0036402C" w:rsidP="00BF0AD1">
      <w:pPr>
        <w:pStyle w:val="Default"/>
        <w:spacing w:line="360" w:lineRule="auto"/>
        <w:ind w:left="708"/>
        <w:jc w:val="both"/>
        <w:rPr>
          <w:rFonts w:ascii="Calibri" w:hAnsi="Calibri" w:cs="Arial"/>
          <w:szCs w:val="22"/>
        </w:rPr>
      </w:pPr>
      <w:r w:rsidRPr="0036402C">
        <w:rPr>
          <w:rFonts w:ascii="Calibri" w:hAnsi="Calibri" w:cs="Arial"/>
          <w:szCs w:val="22"/>
        </w:rPr>
        <w:t xml:space="preserve">i. </w:t>
      </w:r>
      <w:proofErr w:type="spellStart"/>
      <w:r w:rsidRPr="0036402C">
        <w:rPr>
          <w:rFonts w:ascii="Calibri" w:hAnsi="Calibri" w:cs="Arial"/>
          <w:szCs w:val="22"/>
        </w:rPr>
        <w:t>NiCd</w:t>
      </w:r>
      <w:proofErr w:type="spellEnd"/>
      <w:r w:rsidRPr="0036402C">
        <w:rPr>
          <w:rFonts w:ascii="Calibri" w:hAnsi="Calibri" w:cs="Arial"/>
          <w:szCs w:val="22"/>
        </w:rPr>
        <w:t xml:space="preserve"> baterie min. 75 % celkově a 99 % pro Cd, </w:t>
      </w:r>
    </w:p>
    <w:p w14:paraId="459381B8" w14:textId="77777777" w:rsidR="0036402C" w:rsidRPr="0036402C" w:rsidRDefault="0036402C" w:rsidP="00BF0AD1">
      <w:pPr>
        <w:pStyle w:val="Default"/>
        <w:spacing w:line="360" w:lineRule="auto"/>
        <w:ind w:left="708"/>
        <w:jc w:val="both"/>
        <w:rPr>
          <w:rFonts w:ascii="Calibri" w:hAnsi="Calibri" w:cs="Arial"/>
          <w:szCs w:val="22"/>
        </w:rPr>
      </w:pPr>
      <w:proofErr w:type="spellStart"/>
      <w:r w:rsidRPr="0036402C">
        <w:rPr>
          <w:rFonts w:ascii="Calibri" w:hAnsi="Calibri" w:cs="Arial"/>
          <w:szCs w:val="22"/>
        </w:rPr>
        <w:t>ii</w:t>
      </w:r>
      <w:proofErr w:type="spellEnd"/>
      <w:r w:rsidRPr="0036402C">
        <w:rPr>
          <w:rFonts w:ascii="Calibri" w:hAnsi="Calibri" w:cs="Arial"/>
          <w:szCs w:val="22"/>
        </w:rPr>
        <w:t xml:space="preserve">. baterie na bázi olova min. 65 % celkově a 97 % pro </w:t>
      </w:r>
      <w:proofErr w:type="spellStart"/>
      <w:r w:rsidRPr="0036402C">
        <w:rPr>
          <w:rFonts w:ascii="Calibri" w:hAnsi="Calibri" w:cs="Arial"/>
          <w:szCs w:val="22"/>
        </w:rPr>
        <w:t>Pb</w:t>
      </w:r>
      <w:proofErr w:type="spellEnd"/>
      <w:r w:rsidRPr="0036402C">
        <w:rPr>
          <w:rFonts w:ascii="Calibri" w:hAnsi="Calibri" w:cs="Arial"/>
          <w:szCs w:val="22"/>
        </w:rPr>
        <w:t xml:space="preserve">. </w:t>
      </w:r>
    </w:p>
    <w:p w14:paraId="46E456A5" w14:textId="77777777" w:rsidR="0036402C" w:rsidRPr="0036402C" w:rsidRDefault="0036402C" w:rsidP="0036402C">
      <w:pPr>
        <w:pStyle w:val="Default"/>
        <w:rPr>
          <w:rFonts w:ascii="Calibri" w:hAnsi="Calibri" w:cs="Arial"/>
          <w:szCs w:val="22"/>
        </w:rPr>
      </w:pPr>
    </w:p>
    <w:p w14:paraId="1019B58F" w14:textId="77777777" w:rsidR="00985C36" w:rsidRDefault="0036402C" w:rsidP="00985C36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  <w:r w:rsidRPr="0036402C">
        <w:rPr>
          <w:rFonts w:ascii="Calibri" w:hAnsi="Calibri" w:cs="Arial"/>
          <w:szCs w:val="22"/>
        </w:rPr>
        <w:t xml:space="preserve">Pro ostatní technologie (např. lithium, </w:t>
      </w:r>
      <w:proofErr w:type="spellStart"/>
      <w:r w:rsidRPr="0036402C">
        <w:rPr>
          <w:rFonts w:ascii="Calibri" w:hAnsi="Calibri" w:cs="Arial"/>
          <w:szCs w:val="22"/>
        </w:rPr>
        <w:t>NiMH</w:t>
      </w:r>
      <w:proofErr w:type="spellEnd"/>
      <w:r w:rsidRPr="0036402C">
        <w:rPr>
          <w:rFonts w:ascii="Calibri" w:hAnsi="Calibri" w:cs="Arial"/>
          <w:szCs w:val="22"/>
        </w:rPr>
        <w:t>) není prokázání způsobu následné likvidace bateriového systému požadováno.</w:t>
      </w:r>
    </w:p>
    <w:p w14:paraId="279D00FA" w14:textId="3783DAE5" w:rsidR="008A245F" w:rsidRDefault="008A245F" w:rsidP="00985C36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Výše uvedené technické podmínky se zavazujeme splnit. </w:t>
      </w:r>
    </w:p>
    <w:p w14:paraId="0DAF28BD" w14:textId="77777777" w:rsidR="008A245F" w:rsidRDefault="008A245F" w:rsidP="00985C36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</w:p>
    <w:p w14:paraId="10403999" w14:textId="77777777" w:rsidR="008A245F" w:rsidRDefault="008A245F" w:rsidP="00985C36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</w:p>
    <w:p w14:paraId="7556E462" w14:textId="77777777" w:rsidR="008A245F" w:rsidRDefault="008A245F" w:rsidP="00985C36">
      <w:pPr>
        <w:pStyle w:val="Default"/>
        <w:spacing w:line="276" w:lineRule="auto"/>
        <w:jc w:val="both"/>
        <w:rPr>
          <w:rFonts w:ascii="Calibri" w:hAnsi="Calibri" w:cs="Arial"/>
          <w:szCs w:val="22"/>
        </w:rPr>
      </w:pPr>
    </w:p>
    <w:p w14:paraId="5E2E1322" w14:textId="0AEE5C48" w:rsidR="008A245F" w:rsidRDefault="008A245F" w:rsidP="008A245F">
      <w:pPr>
        <w:pStyle w:val="Default"/>
        <w:spacing w:line="276" w:lineRule="auto"/>
        <w:ind w:left="5664" w:firstLine="708"/>
        <w:jc w:val="both"/>
        <w:rPr>
          <w:rFonts w:ascii="Calibri" w:hAnsi="Calibri" w:cs="Arial"/>
          <w:szCs w:val="22"/>
        </w:rPr>
      </w:pPr>
      <w:r w:rsidRPr="008A245F">
        <w:rPr>
          <w:rFonts w:ascii="Calibri" w:hAnsi="Calibri" w:cs="Arial"/>
          <w:szCs w:val="22"/>
          <w:highlight w:val="lightGray"/>
        </w:rPr>
        <w:t>…………………………………..</w:t>
      </w:r>
    </w:p>
    <w:p w14:paraId="2474A653" w14:textId="6CE2559D" w:rsidR="008A245F" w:rsidRPr="008A245F" w:rsidRDefault="008A245F" w:rsidP="008A245F">
      <w:pPr>
        <w:pStyle w:val="Default"/>
        <w:spacing w:line="276" w:lineRule="auto"/>
        <w:ind w:left="6372" w:firstLine="708"/>
        <w:jc w:val="both"/>
        <w:rPr>
          <w:rFonts w:ascii="Calibri" w:hAnsi="Calibri" w:cs="Arial"/>
          <w:i/>
          <w:iCs/>
          <w:sz w:val="20"/>
          <w:szCs w:val="20"/>
        </w:rPr>
      </w:pPr>
      <w:r w:rsidRPr="008A245F">
        <w:rPr>
          <w:rFonts w:ascii="Calibri" w:hAnsi="Calibri" w:cs="Arial"/>
          <w:i/>
          <w:iCs/>
          <w:sz w:val="20"/>
          <w:szCs w:val="20"/>
        </w:rPr>
        <w:t>zhotovitel</w:t>
      </w:r>
    </w:p>
    <w:p w14:paraId="742BA2B8" w14:textId="5958227C" w:rsidR="008A245F" w:rsidRPr="008A245F" w:rsidRDefault="008A245F" w:rsidP="008A245F">
      <w:pPr>
        <w:pStyle w:val="Default"/>
        <w:spacing w:line="276" w:lineRule="auto"/>
        <w:ind w:left="5664" w:firstLine="708"/>
        <w:jc w:val="both"/>
        <w:rPr>
          <w:rFonts w:ascii="Calibri" w:hAnsi="Calibri" w:cs="Arial"/>
          <w:i/>
          <w:iCs/>
          <w:sz w:val="20"/>
          <w:szCs w:val="20"/>
        </w:rPr>
      </w:pPr>
      <w:r>
        <w:rPr>
          <w:rFonts w:ascii="Calibri" w:hAnsi="Calibri" w:cs="Arial"/>
          <w:i/>
          <w:iCs/>
          <w:sz w:val="20"/>
          <w:szCs w:val="20"/>
        </w:rPr>
        <w:t xml:space="preserve">  </w:t>
      </w:r>
      <w:r w:rsidRPr="008A245F">
        <w:rPr>
          <w:rFonts w:ascii="Calibri" w:hAnsi="Calibri" w:cs="Arial"/>
          <w:i/>
          <w:iCs/>
          <w:sz w:val="20"/>
          <w:szCs w:val="20"/>
        </w:rPr>
        <w:t xml:space="preserve">jméno, příjmení a funkce </w:t>
      </w:r>
    </w:p>
    <w:sectPr w:rsidR="008A245F" w:rsidRPr="008A245F" w:rsidSect="009D0026">
      <w:headerReference w:type="default" r:id="rId9"/>
      <w:footerReference w:type="default" r:id="rId10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E834E" w14:textId="77777777" w:rsidR="009D0026" w:rsidRDefault="009D0026" w:rsidP="00EE2C54">
      <w:r>
        <w:separator/>
      </w:r>
    </w:p>
  </w:endnote>
  <w:endnote w:type="continuationSeparator" w:id="0">
    <w:p w14:paraId="4977296A" w14:textId="77777777" w:rsidR="009D0026" w:rsidRDefault="009D0026" w:rsidP="00EE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B59D1" w14:textId="14DFF287" w:rsidR="004E6086" w:rsidRPr="00475428" w:rsidRDefault="004E6086" w:rsidP="00475428">
    <w:pPr>
      <w:pStyle w:val="Zpat"/>
    </w:pPr>
    <w:r w:rsidRPr="00475428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D9D22" w14:textId="77777777" w:rsidR="009D0026" w:rsidRDefault="009D0026" w:rsidP="00EE2C54">
      <w:r>
        <w:separator/>
      </w:r>
    </w:p>
  </w:footnote>
  <w:footnote w:type="continuationSeparator" w:id="0">
    <w:p w14:paraId="30B2BBDE" w14:textId="77777777" w:rsidR="009D0026" w:rsidRDefault="009D0026" w:rsidP="00EE2C54">
      <w:r>
        <w:continuationSeparator/>
      </w:r>
    </w:p>
  </w:footnote>
  <w:footnote w:id="1">
    <w:p w14:paraId="1454F533" w14:textId="12A9071F" w:rsidR="00EF0D74" w:rsidRPr="00574B3D" w:rsidRDefault="00EF0D74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475428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475428">
        <w:rPr>
          <w:rFonts w:asciiTheme="minorHAnsi" w:hAnsiTheme="minorHAnsi" w:cstheme="minorHAnsi"/>
          <w:sz w:val="18"/>
          <w:szCs w:val="18"/>
        </w:rPr>
        <w:t xml:space="preserve"> </w:t>
      </w:r>
      <w:r w:rsidRPr="00574B3D">
        <w:rPr>
          <w:rFonts w:asciiTheme="minorHAnsi" w:hAnsiTheme="minorHAnsi" w:cstheme="minorHAnsi"/>
          <w:sz w:val="18"/>
          <w:szCs w:val="18"/>
        </w:rPr>
        <w:t>Akreditovaný subjekt podle IEC 17065 (resp. národních mutací, např. ČSN EN ISO/IEC 17065:2013). Za akreditovaný subjekt dle IEC 17065 lze považovat také subjekt uznaný prostřednictvím IECEE, viz seznam na https://www.iecee.org/dyn/www/f?p=106:41:0</w:t>
      </w:r>
    </w:p>
  </w:footnote>
  <w:footnote w:id="2">
    <w:p w14:paraId="367C4B07" w14:textId="41E20FD3" w:rsidR="00EF0D74" w:rsidRPr="00574B3D" w:rsidRDefault="00EF0D74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574B3D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4B3D">
        <w:rPr>
          <w:rFonts w:asciiTheme="minorHAnsi" w:hAnsiTheme="minorHAnsi" w:cstheme="minorHAnsi"/>
          <w:sz w:val="18"/>
          <w:szCs w:val="18"/>
        </w:rPr>
        <w:t xml:space="preserve"> </w:t>
      </w:r>
      <w:r w:rsidR="000B4C2F" w:rsidRPr="00574B3D">
        <w:rPr>
          <w:rFonts w:asciiTheme="minorHAnsi" w:hAnsiTheme="minorHAnsi" w:cstheme="minorHAnsi"/>
          <w:sz w:val="18"/>
          <w:szCs w:val="18"/>
        </w:rPr>
        <w:t xml:space="preserve">Standardní testovací podmínky (Standard Test </w:t>
      </w:r>
      <w:proofErr w:type="spellStart"/>
      <w:r w:rsidR="000B4C2F" w:rsidRPr="00574B3D">
        <w:rPr>
          <w:rFonts w:asciiTheme="minorHAnsi" w:hAnsiTheme="minorHAnsi" w:cstheme="minorHAnsi"/>
          <w:sz w:val="18"/>
          <w:szCs w:val="18"/>
        </w:rPr>
        <w:t>Conditions</w:t>
      </w:r>
      <w:proofErr w:type="spellEnd"/>
      <w:r w:rsidR="000B4C2F" w:rsidRPr="00574B3D">
        <w:rPr>
          <w:rFonts w:asciiTheme="minorHAnsi" w:hAnsiTheme="minorHAnsi" w:cstheme="minorHAnsi"/>
          <w:sz w:val="18"/>
          <w:szCs w:val="18"/>
        </w:rPr>
        <w:t xml:space="preserve">) – intenzita záření 1000 W/m2, spektrum AM1,5 </w:t>
      </w:r>
      <w:proofErr w:type="spellStart"/>
      <w:r w:rsidR="000B4C2F" w:rsidRPr="00574B3D">
        <w:rPr>
          <w:rFonts w:asciiTheme="minorHAnsi" w:hAnsiTheme="minorHAnsi" w:cstheme="minorHAnsi"/>
          <w:sz w:val="18"/>
          <w:szCs w:val="18"/>
        </w:rPr>
        <w:t>Global</w:t>
      </w:r>
      <w:proofErr w:type="spellEnd"/>
      <w:r w:rsidR="000B4C2F" w:rsidRPr="00574B3D">
        <w:rPr>
          <w:rFonts w:asciiTheme="minorHAnsi" w:hAnsiTheme="minorHAnsi" w:cstheme="minorHAnsi"/>
          <w:sz w:val="18"/>
          <w:szCs w:val="18"/>
        </w:rPr>
        <w:t xml:space="preserve"> a teplota modulu 25 °C</w:t>
      </w:r>
    </w:p>
  </w:footnote>
  <w:footnote w:id="3">
    <w:p w14:paraId="6F9D2C2D" w14:textId="0E215F9A" w:rsidR="00574B3D" w:rsidRDefault="00574B3D">
      <w:pPr>
        <w:pStyle w:val="Textpoznpodarou"/>
      </w:pPr>
      <w:r w:rsidRPr="00574B3D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4B3D">
        <w:rPr>
          <w:rFonts w:asciiTheme="minorHAnsi" w:hAnsiTheme="minorHAnsi" w:cstheme="minorHAnsi"/>
          <w:sz w:val="18"/>
          <w:szCs w:val="18"/>
        </w:rPr>
        <w:t xml:space="preserve"> Např. </w:t>
      </w:r>
      <w:proofErr w:type="spellStart"/>
      <w:r w:rsidRPr="00574B3D">
        <w:rPr>
          <w:rFonts w:asciiTheme="minorHAnsi" w:hAnsiTheme="minorHAnsi" w:cstheme="minorHAnsi"/>
          <w:sz w:val="18"/>
          <w:szCs w:val="18"/>
        </w:rPr>
        <w:t>agrofotovoltaika</w:t>
      </w:r>
      <w:proofErr w:type="spellEnd"/>
      <w:r w:rsidRPr="00574B3D">
        <w:rPr>
          <w:rFonts w:asciiTheme="minorHAnsi" w:hAnsiTheme="minorHAnsi" w:cstheme="minorHAnsi"/>
          <w:sz w:val="18"/>
          <w:szCs w:val="18"/>
        </w:rPr>
        <w:t xml:space="preserve"> se </w:t>
      </w:r>
      <w:proofErr w:type="spellStart"/>
      <w:r w:rsidRPr="00574B3D">
        <w:rPr>
          <w:rFonts w:asciiTheme="minorHAnsi" w:hAnsiTheme="minorHAnsi" w:cstheme="minorHAnsi"/>
          <w:sz w:val="18"/>
          <w:szCs w:val="18"/>
        </w:rPr>
        <w:t>sunshare</w:t>
      </w:r>
      <w:proofErr w:type="spellEnd"/>
      <w:r w:rsidRPr="00574B3D">
        <w:rPr>
          <w:rFonts w:asciiTheme="minorHAnsi" w:hAnsiTheme="minorHAnsi" w:cstheme="minorHAnsi"/>
          <w:sz w:val="18"/>
          <w:szCs w:val="18"/>
        </w:rPr>
        <w:t xml:space="preserve"> technologií, speciální fotovoltaické krytiny, technologie určené pro ploché střechy s nízkou nosností.</w:t>
      </w:r>
    </w:p>
  </w:footnote>
  <w:footnote w:id="4">
    <w:p w14:paraId="68569122" w14:textId="77777777" w:rsidR="0036402C" w:rsidRDefault="0036402C" w:rsidP="0036402C">
      <w:pPr>
        <w:pStyle w:val="Textpoznpodarou"/>
      </w:pPr>
      <w:r w:rsidRPr="007B44F6">
        <w:rPr>
          <w:rFonts w:asciiTheme="minorHAnsi" w:hAnsiTheme="minorHAnsi" w:cstheme="minorHAnsi"/>
          <w:sz w:val="18"/>
          <w:szCs w:val="18"/>
          <w:vertAlign w:val="superscript"/>
        </w:rPr>
        <w:footnoteRef/>
      </w:r>
      <w:r w:rsidRPr="00475428">
        <w:rPr>
          <w:rFonts w:asciiTheme="minorHAnsi" w:hAnsiTheme="minorHAnsi" w:cstheme="minorHAnsi"/>
          <w:sz w:val="18"/>
          <w:szCs w:val="18"/>
        </w:rPr>
        <w:t xml:space="preserve"> Např. baterie s nominální kapacitou 1 kWh musí být schopna dodat za dobu své životnosti min. 2 400 kWh energie</w:t>
      </w:r>
    </w:p>
  </w:footnote>
  <w:footnote w:id="5">
    <w:p w14:paraId="75FB5971" w14:textId="2D3392A0" w:rsidR="00E3112B" w:rsidRDefault="00E31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3112B">
        <w:rPr>
          <w:rFonts w:asciiTheme="minorHAnsi" w:hAnsiTheme="minorHAnsi" w:cstheme="minorHAnsi"/>
          <w:sz w:val="18"/>
          <w:szCs w:val="18"/>
        </w:rPr>
        <w:t>Pro potřeby této výzvy odpovídá instalovanému výkonu FVE 1kWp hodnota teoretické hodinové výroby při instalovaném špičkovém výkonu FVE ve výši 1 kWh.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3096E" w14:textId="2E2077B3" w:rsidR="00EE2C54" w:rsidRDefault="00EE2C54" w:rsidP="00EE2C54">
    <w:pPr>
      <w:pStyle w:val="Zpat"/>
      <w:pBdr>
        <w:bottom w:val="single" w:sz="12" w:space="1" w:color="808080"/>
      </w:pBdr>
      <w:tabs>
        <w:tab w:val="clear" w:pos="4536"/>
        <w:tab w:val="clear" w:pos="9072"/>
        <w:tab w:val="left" w:pos="4820"/>
        <w:tab w:val="left" w:pos="8222"/>
      </w:tabs>
      <w:rPr>
        <w:b/>
        <w:color w:val="808080"/>
        <w:sz w:val="18"/>
        <w:szCs w:val="18"/>
      </w:rPr>
    </w:pPr>
  </w:p>
  <w:p w14:paraId="2E9CC733" w14:textId="77777777" w:rsidR="00EE2C54" w:rsidRDefault="00EE2C54" w:rsidP="00EE2C54">
    <w:pPr>
      <w:pStyle w:val="Zpat"/>
      <w:pBdr>
        <w:bottom w:val="single" w:sz="12" w:space="1" w:color="808080"/>
      </w:pBdr>
      <w:tabs>
        <w:tab w:val="clear" w:pos="4536"/>
        <w:tab w:val="clear" w:pos="9072"/>
        <w:tab w:val="left" w:pos="4820"/>
        <w:tab w:val="left" w:pos="8222"/>
      </w:tabs>
      <w:rPr>
        <w:b/>
        <w:color w:val="808080"/>
        <w:sz w:val="18"/>
        <w:szCs w:val="18"/>
      </w:rPr>
    </w:pPr>
  </w:p>
  <w:p w14:paraId="560DB8B2" w14:textId="77777777" w:rsidR="00EE2C54" w:rsidRDefault="00EE2C54" w:rsidP="00EE2C54">
    <w:pPr>
      <w:pStyle w:val="Zhlav"/>
    </w:pPr>
  </w:p>
  <w:p w14:paraId="506965EB" w14:textId="77777777" w:rsidR="00EE2C54" w:rsidRDefault="00EE2C5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05B"/>
    <w:multiLevelType w:val="hybridMultilevel"/>
    <w:tmpl w:val="33349FE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C4A51"/>
    <w:multiLevelType w:val="hybridMultilevel"/>
    <w:tmpl w:val="3796FD6A"/>
    <w:lvl w:ilvl="0" w:tplc="1D6C3E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14311"/>
    <w:multiLevelType w:val="hybridMultilevel"/>
    <w:tmpl w:val="29DC5A3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4A2556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871DF"/>
    <w:multiLevelType w:val="hybridMultilevel"/>
    <w:tmpl w:val="AEF09F82"/>
    <w:lvl w:ilvl="0" w:tplc="E0A6C492">
      <w:start w:val="11"/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023E9"/>
    <w:multiLevelType w:val="hybridMultilevel"/>
    <w:tmpl w:val="BD980C4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E3E24"/>
    <w:multiLevelType w:val="hybridMultilevel"/>
    <w:tmpl w:val="4E06B91A"/>
    <w:lvl w:ilvl="0" w:tplc="69900F7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63074"/>
    <w:multiLevelType w:val="hybridMultilevel"/>
    <w:tmpl w:val="929017C8"/>
    <w:lvl w:ilvl="0" w:tplc="69900F7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F0268"/>
    <w:multiLevelType w:val="hybridMultilevel"/>
    <w:tmpl w:val="95929B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E56B24"/>
    <w:multiLevelType w:val="hybridMultilevel"/>
    <w:tmpl w:val="4072D96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B2EA5"/>
    <w:multiLevelType w:val="hybridMultilevel"/>
    <w:tmpl w:val="387AF32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759DB"/>
    <w:multiLevelType w:val="hybridMultilevel"/>
    <w:tmpl w:val="BFCA61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C494D"/>
    <w:multiLevelType w:val="hybridMultilevel"/>
    <w:tmpl w:val="9A8EC3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A2A37"/>
    <w:multiLevelType w:val="hybridMultilevel"/>
    <w:tmpl w:val="CDE688E2"/>
    <w:lvl w:ilvl="0" w:tplc="95742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03CB2"/>
    <w:multiLevelType w:val="hybridMultilevel"/>
    <w:tmpl w:val="9288F5AE"/>
    <w:lvl w:ilvl="0" w:tplc="E0A6C492">
      <w:start w:val="11"/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898896">
    <w:abstractNumId w:val="1"/>
  </w:num>
  <w:num w:numId="2" w16cid:durableId="1393889744">
    <w:abstractNumId w:val="12"/>
  </w:num>
  <w:num w:numId="3" w16cid:durableId="1639072496">
    <w:abstractNumId w:val="10"/>
  </w:num>
  <w:num w:numId="4" w16cid:durableId="2102792106">
    <w:abstractNumId w:val="4"/>
  </w:num>
  <w:num w:numId="5" w16cid:durableId="113064058">
    <w:abstractNumId w:val="11"/>
  </w:num>
  <w:num w:numId="6" w16cid:durableId="1060980669">
    <w:abstractNumId w:val="3"/>
  </w:num>
  <w:num w:numId="7" w16cid:durableId="1088117571">
    <w:abstractNumId w:val="13"/>
  </w:num>
  <w:num w:numId="8" w16cid:durableId="2145195346">
    <w:abstractNumId w:val="6"/>
  </w:num>
  <w:num w:numId="9" w16cid:durableId="2014871502">
    <w:abstractNumId w:val="2"/>
  </w:num>
  <w:num w:numId="10" w16cid:durableId="1817912497">
    <w:abstractNumId w:val="7"/>
  </w:num>
  <w:num w:numId="11" w16cid:durableId="244264414">
    <w:abstractNumId w:val="8"/>
  </w:num>
  <w:num w:numId="12" w16cid:durableId="996879492">
    <w:abstractNumId w:val="0"/>
  </w:num>
  <w:num w:numId="13" w16cid:durableId="452094885">
    <w:abstractNumId w:val="9"/>
  </w:num>
  <w:num w:numId="14" w16cid:durableId="668337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C54"/>
    <w:rsid w:val="0001214A"/>
    <w:rsid w:val="00076BD9"/>
    <w:rsid w:val="000939A2"/>
    <w:rsid w:val="000B4C2F"/>
    <w:rsid w:val="000F4479"/>
    <w:rsid w:val="0016463D"/>
    <w:rsid w:val="00190EF8"/>
    <w:rsid w:val="001C1179"/>
    <w:rsid w:val="001E6D40"/>
    <w:rsid w:val="00233C1F"/>
    <w:rsid w:val="00252C5E"/>
    <w:rsid w:val="00346866"/>
    <w:rsid w:val="0036402C"/>
    <w:rsid w:val="003F1705"/>
    <w:rsid w:val="00402073"/>
    <w:rsid w:val="0044683E"/>
    <w:rsid w:val="00446C79"/>
    <w:rsid w:val="00475428"/>
    <w:rsid w:val="004A466A"/>
    <w:rsid w:val="004E6086"/>
    <w:rsid w:val="004F6573"/>
    <w:rsid w:val="004F7503"/>
    <w:rsid w:val="00551051"/>
    <w:rsid w:val="0056364F"/>
    <w:rsid w:val="00574B3D"/>
    <w:rsid w:val="00582FA8"/>
    <w:rsid w:val="006259ED"/>
    <w:rsid w:val="00694C64"/>
    <w:rsid w:val="006A703F"/>
    <w:rsid w:val="006B46CD"/>
    <w:rsid w:val="006B5B9B"/>
    <w:rsid w:val="006D0118"/>
    <w:rsid w:val="006F4C55"/>
    <w:rsid w:val="0074658C"/>
    <w:rsid w:val="007762E4"/>
    <w:rsid w:val="007B44F6"/>
    <w:rsid w:val="00837975"/>
    <w:rsid w:val="00886100"/>
    <w:rsid w:val="008965A7"/>
    <w:rsid w:val="008A245F"/>
    <w:rsid w:val="008A2EC2"/>
    <w:rsid w:val="008C172D"/>
    <w:rsid w:val="008C1875"/>
    <w:rsid w:val="008D09FA"/>
    <w:rsid w:val="008D48DC"/>
    <w:rsid w:val="008F67B4"/>
    <w:rsid w:val="00924B70"/>
    <w:rsid w:val="00942ED2"/>
    <w:rsid w:val="00962B6C"/>
    <w:rsid w:val="00985C36"/>
    <w:rsid w:val="009D0026"/>
    <w:rsid w:val="00A26AA8"/>
    <w:rsid w:val="00A5376C"/>
    <w:rsid w:val="00A844B3"/>
    <w:rsid w:val="00AA474D"/>
    <w:rsid w:val="00AB7936"/>
    <w:rsid w:val="00AD2011"/>
    <w:rsid w:val="00AE569B"/>
    <w:rsid w:val="00B23328"/>
    <w:rsid w:val="00B34E29"/>
    <w:rsid w:val="00B85A37"/>
    <w:rsid w:val="00B92E95"/>
    <w:rsid w:val="00BA3661"/>
    <w:rsid w:val="00BA6BC7"/>
    <w:rsid w:val="00BF0AD1"/>
    <w:rsid w:val="00C0024C"/>
    <w:rsid w:val="00C32074"/>
    <w:rsid w:val="00C367F3"/>
    <w:rsid w:val="00C9011E"/>
    <w:rsid w:val="00CF0D6B"/>
    <w:rsid w:val="00D07C81"/>
    <w:rsid w:val="00D119FF"/>
    <w:rsid w:val="00D345F3"/>
    <w:rsid w:val="00D4425A"/>
    <w:rsid w:val="00D765FE"/>
    <w:rsid w:val="00DB0603"/>
    <w:rsid w:val="00E06A9A"/>
    <w:rsid w:val="00E24A2E"/>
    <w:rsid w:val="00E26B06"/>
    <w:rsid w:val="00E3112B"/>
    <w:rsid w:val="00E57A0E"/>
    <w:rsid w:val="00E779A3"/>
    <w:rsid w:val="00ED2931"/>
    <w:rsid w:val="00EE2C54"/>
    <w:rsid w:val="00EF0D74"/>
    <w:rsid w:val="00F21350"/>
    <w:rsid w:val="00F22236"/>
    <w:rsid w:val="00F30B8D"/>
    <w:rsid w:val="00F621E6"/>
    <w:rsid w:val="00F760A0"/>
    <w:rsid w:val="00F870A4"/>
    <w:rsid w:val="00FA3BF0"/>
    <w:rsid w:val="00FB5580"/>
    <w:rsid w:val="00FB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40EB"/>
  <w15:chartTrackingRefBased/>
  <w15:docId w15:val="{B7CF6769-ABA0-4C2D-92FA-ECA0A3B55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2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E2C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2C5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2C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2C5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E2C54"/>
    <w:pPr>
      <w:ind w:left="720"/>
      <w:contextualSpacing/>
    </w:pPr>
  </w:style>
  <w:style w:type="paragraph" w:customStyle="1" w:styleId="Default">
    <w:name w:val="Default"/>
    <w:rsid w:val="00EF0D74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EF0D7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F0D7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F0D74"/>
    <w:rPr>
      <w:vertAlign w:val="superscript"/>
    </w:rPr>
  </w:style>
  <w:style w:type="table" w:styleId="Mkatabulky">
    <w:name w:val="Table Grid"/>
    <w:basedOn w:val="Normlntabulka"/>
    <w:uiPriority w:val="39"/>
    <w:rsid w:val="00EF0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2">
    <w:name w:val="Plain Table 2"/>
    <w:basedOn w:val="Normlntabulka"/>
    <w:uiPriority w:val="42"/>
    <w:rsid w:val="00EF0D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5510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5105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5105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10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105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67F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67F3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B200C-2944-4C80-A5F9-9C5845A6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446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Prášková</dc:creator>
  <cp:keywords/>
  <dc:description/>
  <cp:lastModifiedBy>Alena Prášková</cp:lastModifiedBy>
  <cp:revision>6</cp:revision>
  <cp:lastPrinted>2023-07-10T11:48:00Z</cp:lastPrinted>
  <dcterms:created xsi:type="dcterms:W3CDTF">2024-11-21T18:29:00Z</dcterms:created>
  <dcterms:modified xsi:type="dcterms:W3CDTF">2025-10-21T09:38:00Z</dcterms:modified>
</cp:coreProperties>
</file>